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子部  淮南子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子部  淮南子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本书出售、求购地址：https://www.jiaokey.com/book/detail/13837334.html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子部  淮南子.html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