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各项基本制度、职责范围、岗位责任制  汇编（试用）</w:t>
      </w:r>
    </w:p>
    <w:p>
      <w:r>
        <w:rPr>
          <w:rFonts w:ascii="宋体" w:hAnsi="宋体" w:eastAsia="宋体"/>
          <w:sz w:val="24"/>
        </w:rPr>
        <w:t>交通银行吉林支行编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各项基本制度、职责范围、岗位责任制  汇编（试用）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交通银行吉林支行编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交通银行吉林支行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本书出售、求购地址：https://www.jiaokey.com/book/detail/13836401.html</w:t>
      </w:r>
    </w:p>
    <w:p>
      <w:r>
        <w:t>更多相关图书推荐：https://www.jiaokey.com</w:t>
      </w:r>
    </w:p>
    <w:p>
      <w:r>
        <w:t>交通银行吉林支行编 其他作品：https://www.jiaokey.com/tag/交通银行吉林支行编.html</w:t>
      </w:r>
    </w:p>
    <w:p>
      <w:r>
        <w:t>交通银行吉林支行 出版图书：https://www.jiaokey.com/tag/交通银行吉林支行.html</w:t>
      </w:r>
    </w:p>
    <w:p>
      <w:r>
        <w:t>关键词搜索：https://www.jiaokey.com/tag/各项基本制度、职责范围、岗位责任制  汇编（试用）.html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