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钙镁磷肥玻璃体结构理论及配料依据</w:t>
      </w:r>
    </w:p>
    <w:p>
      <w:r>
        <w:rPr>
          <w:rFonts w:ascii="宋体" w:hAnsi="宋体" w:eastAsia="宋体"/>
          <w:sz w:val="24"/>
        </w:rPr>
        <w:t>许秀成著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钙镁磷肥玻璃体结构理论及配料依据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化工部郑州工学院化学系磷肥研究组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本书出售、求购地址：https://www.jiaokey.com/book/detail/13836321.html</w:t>
      </w:r>
    </w:p>
    <w:p>
      <w:r>
        <w:t>更多相关图书推荐：https://www.jiaokey.com</w:t>
      </w:r>
    </w:p>
    <w:p>
      <w:r>
        <w:t>许秀成著 其他作品：https://www.jiaokey.com/tag/许秀成著.html</w:t>
      </w:r>
    </w:p>
    <w:p>
      <w:r>
        <w:t>化工部郑州工学院化学系磷肥研究组 出版图书：https://www.jiaokey.com/tag/化工部郑州工学院化学系磷肥研究组.html</w:t>
      </w:r>
    </w:p>
    <w:p>
      <w:r>
        <w:t>关键词搜索：https://www.jiaokey.com/tag/钙镁磷肥玻璃体结构理论及配料依据.html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