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汽车客运服务员  初、中、高级</w:t>
      </w:r>
    </w:p>
    <w:p>
      <w:r>
        <w:rPr>
          <w:rFonts w:ascii="宋体" w:hAnsi="宋体" w:eastAsia="宋体"/>
          <w:sz w:val="24"/>
        </w:rPr>
        <w:t>陈鹏主编；曾艳英，吴毅洲，黎新华副主编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汽车客运服务员  初、中、高级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陈鹏主编；曾艳英，吴毅洲，黎新华副主编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本书出售、求购地址：https://www.jiaokey.com/book/detail/13834673.html</w:t>
      </w:r>
    </w:p>
    <w:p>
      <w:r>
        <w:t>更多相关图书推荐：https://www.jiaokey.com</w:t>
      </w:r>
    </w:p>
    <w:p>
      <w:r>
        <w:t>陈鹏主编；曾艳英，吴毅洲，黎新华副主编 其他作品：https://www.jiaokey.com/tag/陈鹏主编；曾艳英，吴毅洲，黎新华副主编.html</w:t>
      </w:r>
    </w:p>
    <w:p>
      <w:r>
        <w:t>广东交通职业技术学院 出版图书：https://www.jiaokey.com/tag/广东交通职业技术学院.html</w:t>
      </w:r>
    </w:p>
    <w:p>
      <w:r>
        <w:t>关键词搜索：https://www.jiaokey.com/tag/汽车客运服务员  初、中、高级.html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