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物流管理专业教学标准与课程标准</w:t>
      </w:r>
    </w:p>
    <w:p>
      <w:r>
        <w:rPr>
          <w:rFonts w:ascii="宋体" w:hAnsi="宋体" w:eastAsia="宋体"/>
          <w:sz w:val="24"/>
        </w:rPr>
        <w:t>屈颖主编；陈涛，梁超强副主编；曾艳英主审；广东交通职业技术学院组织编写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屈颖主编；陈涛，梁超强副主编；曾艳英主审；广东交通职业技术学院组织编写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本书出售、求购地址：https://www.jiaokey.com/book/detail/13834545.html</w:t>
      </w:r>
    </w:p>
    <w:p>
      <w:r>
        <w:t>更多相关图书推荐：https://www.jiaokey.com</w:t>
      </w:r>
    </w:p>
    <w:p>
      <w:r>
        <w:t>屈颖主编；陈涛，梁超强副主编；曾艳英主审；广东交通职业技术学院组织编写 其他作品：https://www.jiaokey.com/tag/屈颖主编；陈涛，梁超强副主编；曾艳英主审；广东交通职业技术学院组织编写.html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关键词搜索：https://www.jiaokey.com/tag/物流管理专业教学标准与课程标准.html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