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船舶结构与货运  未满500总吨船舶</w:t>
      </w:r>
    </w:p>
    <w:p>
      <w:r>
        <w:rPr>
          <w:rFonts w:ascii="宋体" w:hAnsi="宋体" w:eastAsia="宋体"/>
          <w:sz w:val="24"/>
        </w:rPr>
        <w:t>中国海事服务中心组织编写，中华人民共和国海事局审定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船舶结构与货运  未满500总吨船舶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中国海事服务中心组织编写，中华人民共和国海事局审定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人民交通出版社，大连海事大学出版社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本书出售、求购地址：https://www.jiaokey.com/book/detail/13834493.html</w:t>
      </w:r>
    </w:p>
    <w:p>
      <w:r>
        <w:t>更多相关图书推荐：https://www.jiaokey.com</w:t>
      </w:r>
    </w:p>
    <w:p>
      <w:r>
        <w:t>中国海事服务中心组织编写，中华人民共和国海事局审定 其他作品：https://www.jiaokey.com/tag/中国海事服务中心组织编写，中华人民共和国海事局审定.html</w:t>
      </w:r>
    </w:p>
    <w:p>
      <w:r>
        <w:t>人民交通出版社，大连海事大学出版社 出版图书：https://www.jiaokey.com/tag/人民交通出版社，大连海事大学出版社.html</w:t>
      </w:r>
    </w:p>
    <w:p>
      <w:r>
        <w:t>关键词搜索：https://www.jiaokey.com/tag/船舶结构与货运  未满500总吨船舶.html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