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高等院校艺术门类“十三五”规划教材  广告概论</w:t>
      </w:r>
    </w:p>
    <w:p>
      <w:r>
        <w:rPr>
          <w:rFonts w:ascii="宋体" w:hAnsi="宋体" w:eastAsia="宋体"/>
          <w:sz w:val="24"/>
        </w:rPr>
        <w:t>金秋月主编；栗启龙，赵婷副主编；于淼，殷辛，王禹，聂泽仙，杨莉，楚娴参编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高等院校艺术门类“十三五”规划教材  广告概论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金秋月主编；栗启龙，赵婷副主编；于淼，殷辛，王禹，聂泽仙，杨莉，楚娴参编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本书出售、求购地址：https://www.jiaokey.com/book/detail/13833998.html</w:t>
      </w:r>
    </w:p>
    <w:p>
      <w:r>
        <w:t>更多相关图书推荐：https://www.jiaokey.com</w:t>
      </w:r>
    </w:p>
    <w:p>
      <w:r>
        <w:t>金秋月主编；栗启龙，赵婷副主编；于淼，殷辛，王禹，聂泽仙，杨莉，楚娴参编 其他作品：https://www.jiaokey.com/tag/金秋月主编；栗启龙，赵婷副主编；于淼，殷辛，王禹，聂泽仙，杨莉，楚娴参编.html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关键词搜索：https://www.jiaokey.com/tag/高等院校艺术门类“十三五”规划教材  广告概论.html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