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中国基本养老保险基金投资管理改革</w:t>
      </w:r>
    </w:p>
    <w:p>
      <w:r>
        <w:rPr>
          <w:rFonts w:ascii="宋体" w:hAnsi="宋体" w:eastAsia="宋体"/>
          <w:sz w:val="24"/>
        </w:rPr>
        <w:t>中国社会保险学会，中国社会科学院世界社保研究中心，交银施罗德基金管理有限公司组织编写；郑秉文，赵宏，单秀红主编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中国基本养老保险基金投资管理改革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中国社会保险学会，中国社会科学院世界社保研究中心，交银施罗德基金管理有限公司组织编写；郑秉文，赵宏，单秀红主编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本书出售、求购地址：https://www.jiaokey.com/book/detail/13833965.html</w:t>
      </w:r>
    </w:p>
    <w:p>
      <w:r>
        <w:t>更多相关图书推荐：https://www.jiaokey.com</w:t>
      </w:r>
    </w:p>
    <w:p>
      <w:r>
        <w:t>中国社会保险学会，中国社会科学院世界社保研究中心，交银施罗德基金管理有限公司组织编写；郑秉文，赵宏，单秀红主编 其他作品：https://www.jiaokey.com/tag/中国社会保险学会，中国社会科学院世界社保研究中心，交银施罗德基金管理有限公司组织编写；郑秉文，赵宏，单秀红主编.html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关键词搜索：https://www.jiaokey.com/tag/中国基本养老保险基金投资管理改革.html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