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京津翼之间生态环境关系与生态补偿机制研究</w:t>
      </w:r>
    </w:p>
    <w:p>
      <w:r>
        <w:rPr>
          <w:rFonts w:ascii="宋体" w:hAnsi="宋体" w:eastAsia="宋体"/>
          <w:sz w:val="24"/>
        </w:rPr>
        <w:t>刘春兰，裴厦，王海华，陈龙，李铮，陈文辉，张殷俊著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京津翼之间生态环境关系与生态补偿机制研究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刘春兰，裴厦，王海华，陈龙，李铮，陈文辉，张殷俊著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本书出售、求购地址：https://www.jiaokey.com/book/detail/13833693.html</w:t>
      </w:r>
    </w:p>
    <w:p>
      <w:r>
        <w:t>更多相关图书推荐：https://www.jiaokey.com</w:t>
      </w:r>
    </w:p>
    <w:p>
      <w:r>
        <w:t>刘春兰，裴厦，王海华，陈龙，李铮，陈文辉，张殷俊著 其他作品：https://www.jiaokey.com/tag/刘春兰，裴厦，王海华，陈龙，李铮，陈文辉，张殷俊著.html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关键词搜索：https://www.jiaokey.com/tag/京津翼之间生态环境关系与生态补偿机制研究.html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