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红楼梦学刊  2000年第3辑  总第86辑</w:t>
      </w:r>
    </w:p>
    <w:p>
      <w:r>
        <w:rPr>
          <w:rFonts w:ascii="宋体" w:hAnsi="宋体" w:eastAsia="宋体"/>
          <w:sz w:val="24"/>
        </w:rPr>
        <w:t>冯其庸，李希凡主编；张庆善副主编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红楼梦学刊  2000年第3辑  总第86辑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冯其庸，李希凡主编；张庆善副主编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红楼梦学刊杂志社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本书出售、求购地址：https://www.jiaokey.com/book/detail/13829885.html</w:t>
      </w:r>
    </w:p>
    <w:p>
      <w:r>
        <w:t>更多相关图书推荐：https://www.jiaokey.com</w:t>
      </w:r>
    </w:p>
    <w:p>
      <w:r>
        <w:t>冯其庸，李希凡主编；张庆善副主编 其他作品：https://www.jiaokey.com/tag/冯其庸，李希凡主编；张庆善副主编.html</w:t>
      </w:r>
    </w:p>
    <w:p>
      <w:r>
        <w:t>红楼梦学刊杂志社 出版图书：https://www.jiaokey.com/tag/红楼梦学刊杂志社.html</w:t>
      </w:r>
    </w:p>
    <w:p>
      <w:r>
        <w:t>关键词搜索：https://www.jiaokey.com/tag/红楼梦学刊  2000年第3辑  总第86辑.html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