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乌镇之子矛盾</w:t>
      </w:r>
    </w:p>
    <w:p>
      <w:r>
        <w:rPr>
          <w:rFonts w:ascii="宋体" w:hAnsi="宋体" w:eastAsia="宋体"/>
          <w:sz w:val="24"/>
        </w:rPr>
        <w:t>桐乡市矛盾研究会编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乌镇之子矛盾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桐乡市矛盾研究会编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桐乡市矛盾纪念馆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本书出售、求购地址：https://www.jiaokey.com/book/detail/13829830.html</w:t>
      </w:r>
    </w:p>
    <w:p>
      <w:r>
        <w:t>更多相关图书推荐：https://www.jiaokey.com</w:t>
      </w:r>
    </w:p>
    <w:p>
      <w:r>
        <w:t>桐乡市矛盾研究会编 其他作品：https://www.jiaokey.com/tag/桐乡市矛盾研究会编.html</w:t>
      </w:r>
    </w:p>
    <w:p>
      <w:r>
        <w:t>桐乡市矛盾纪念馆 出版图书：https://www.jiaokey.com/tag/桐乡市矛盾纪念馆.html</w:t>
      </w:r>
    </w:p>
    <w:p>
      <w:r>
        <w:t>关键词搜索：https://www.jiaokey.com/tag/乌镇之子矛盾.html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