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常见肿瘤病理诊断及报告指南</w:t>
      </w:r>
    </w:p>
    <w:p>
      <w:r>
        <w:rPr>
          <w:rFonts w:ascii="宋体" w:hAnsi="宋体" w:eastAsia="宋体"/>
          <w:sz w:val="24"/>
        </w:rPr>
        <w:t>毛伟敏，倪型灏主编；孙文勇，夏成青，马时荣，陈丽荣副主编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常见肿瘤病理诊断及报告指南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毛伟敏，倪型灏主编；孙文勇，夏成青，马时荣，陈丽荣副主编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本书出售、求购地址：https://www.jiaokey.com/book/detail/13828460.html</w:t>
      </w:r>
    </w:p>
    <w:p>
      <w:r>
        <w:t>更多相关图书推荐：https://www.jiaokey.com</w:t>
      </w:r>
    </w:p>
    <w:p>
      <w:r>
        <w:t>毛伟敏，倪型灏主编；孙文勇，夏成青，马时荣，陈丽荣副主编 其他作品：https://www.jiaokey.com/tag/毛伟敏，倪型灏主编；孙文勇，夏成青，马时荣，陈丽荣副主编.html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关键词搜索：https://www.jiaokey.com/tag/常见肿瘤病理诊断及报告指南.html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