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高级</w:t>
      </w:r>
    </w:p>
    <w:p>
      <w:r>
        <w:rPr>
          <w:rFonts w:ascii="宋体" w:hAnsi="宋体" w:eastAsia="宋体"/>
          <w:sz w:val="24"/>
        </w:rPr>
        <w:t>中国就业培训技术指导中心组织编写；王希杰，丁文花主编；汤日明，乔虎副主编；李世效，周一杰，陈祥等编；汤日光主审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中国就业培训技术指导中心组织编写；王希杰，丁文花主编；汤日明，乔虎副主编；李世效，周一杰，陈祥等编；汤日光主审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本书出售、求购地址：https://www.jiaokey.com/book/detail/13824630.html</w:t>
      </w:r>
    </w:p>
    <w:p>
      <w:r>
        <w:t>更多相关图书推荐：https://www.jiaokey.com</w:t>
      </w:r>
    </w:p>
    <w:p>
      <w:r>
        <w:t>中国就业培训技术指导中心组织编写；王希杰，丁文花主编；汤日明，乔虎副主编；李世效，周一杰，陈祥等编；汤日光主审 其他作品：https://www.jiaokey.com/tag/中国就业培训技术指导中心组织编写；王希杰，丁文花主编；汤日明，乔虎副主编；李世效，周一杰，陈祥等编；汤日光主审.html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