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辉煌的五年  十四大以来广东省经济建设和精神文明建设成就</w:t>
      </w:r>
    </w:p>
    <w:p>
      <w:r>
        <w:rPr>
          <w:rFonts w:ascii="宋体" w:hAnsi="宋体" w:eastAsia="宋体"/>
          <w:sz w:val="24"/>
        </w:rPr>
        <w:t>黄编十四大以来两个文明建设成就展广东筹委会编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辉煌的五年  十四大以来广东省经济建设和精神文明建设成就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黄编十四大以来两个文明建设成就展广东筹委会编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本书出售、求购地址：https://www.jiaokey.com/book/detail/13822388.html</w:t>
      </w:r>
    </w:p>
    <w:p>
      <w:r>
        <w:t>更多相关图书推荐：https://www.jiaokey.com</w:t>
      </w:r>
    </w:p>
    <w:p>
      <w:r>
        <w:t>黄编十四大以来两个文明建设成就展广东筹委会编 其他作品：https://www.jiaokey.com/tag/黄编十四大以来两个文明建设成就展广东筹委会编.html</w:t>
      </w:r>
    </w:p>
    <w:p>
      <w:r>
        <w:t>NULL 出版图书：https://www.jiaokey.com/tag/NULL.html</w:t>
      </w:r>
    </w:p>
    <w:p>
      <w:r>
        <w:t>关键词搜索：https://www.jiaokey.com/tag/辉煌的五年  十四大以来广东省经济建设和精神文明建设成就.html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