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知识产权法律译丛  全球反不正当竞争法指引</w:t>
      </w:r>
    </w:p>
    <w:p>
      <w:r>
        <w:rPr>
          <w:rFonts w:ascii="宋体" w:hAnsi="宋体" w:eastAsia="宋体"/>
          <w:sz w:val="24"/>
        </w:rPr>
        <w:t>（德）弗诺克·亨宁·博德维希主编；黄武双，刘维，陈雅秋译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知识产权法律译丛  全球反不正当竞争法指引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（德）弗诺克·亨宁·博德维希主编；黄武双，刘维，陈雅秋译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本书出售、求购地址：https://www.jiaokey.com/book/detail/13821531.html</w:t>
      </w:r>
    </w:p>
    <w:p>
      <w:r>
        <w:t>更多相关图书推荐：https://www.jiaokey.com</w:t>
      </w:r>
    </w:p>
    <w:p>
      <w:r>
        <w:t>（德）弗诺克·亨宁·博德维希主编；黄武双，刘维，陈雅秋译 其他作品：https://www.jiaokey.com/tag/（德）弗诺克·亨宁·博德维希主编；黄武双，刘维，陈雅秋译.html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关键词搜索：https://www.jiaokey.com/tag/知识产权法律译丛  全球反不正当竞争法指引.html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