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商标实务指南</w:t>
      </w:r>
    </w:p>
    <w:p>
      <w:r>
        <w:rPr>
          <w:rFonts w:ascii="宋体" w:hAnsi="宋体" w:eastAsia="宋体"/>
          <w:sz w:val="24"/>
        </w:rPr>
        <w:t>张锐主编；李石副主编；刘新焱，孙红晓，付育霖编委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张锐主编；李石副主编；刘新焱，孙红晓，付育霖编委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本书出售、求购地址：https://www.jiaokey.com/book/detail/13821521.html</w:t>
      </w:r>
    </w:p>
    <w:p>
      <w:r>
        <w:t>更多相关图书推荐：https://www.jiaokey.com</w:t>
      </w:r>
    </w:p>
    <w:p>
      <w:r>
        <w:t>张锐主编；李石副主编；刘新焱，孙红晓，付育霖编委 其他作品：https://www.jiaokey.com/tag/张锐主编；李石副主编；刘新焱，孙红晓，付育霖编委.html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关键词搜索：https://www.jiaokey.com/tag/商标实务指南.html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