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游戏角色设计</w:t>
      </w:r>
    </w:p>
    <w:p>
      <w:r>
        <w:rPr>
          <w:rFonts w:ascii="宋体" w:hAnsi="宋体" w:eastAsia="宋体"/>
          <w:sz w:val="24"/>
        </w:rPr>
        <w:t>花泉插画工作室策划；于琳飞，马潇灵，郭立怀编著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游戏角色设计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花泉插画工作室策划；于琳飞，马潇灵，郭立怀编著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本书出售、求购地址：https://www.jiaokey.com/book/detail/13820600.html</w:t>
      </w:r>
    </w:p>
    <w:p>
      <w:r>
        <w:t>更多相关图书推荐：https://www.jiaokey.com</w:t>
      </w:r>
    </w:p>
    <w:p>
      <w:r>
        <w:t>花泉插画工作室策划；于琳飞，马潇灵，郭立怀编著 其他作品：https://www.jiaokey.com/tag/花泉插画工作室策划；于琳飞，马潇灵，郭立怀编著.html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关键词搜索：https://www.jiaokey.com/tag/游戏角色设计.html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