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和谐社区通讯  2015年  第2期  总第37期</w:t>
      </w:r>
    </w:p>
    <w:p>
      <w:r>
        <w:rPr>
          <w:rFonts w:ascii="宋体" w:hAnsi="宋体" w:eastAsia="宋体"/>
          <w:sz w:val="24"/>
        </w:rPr>
        <w:t>陈幽泓，陈凤山主编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和谐社区通讯  2015年  第2期  总第37期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陈幽泓，陈凤山主编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北京市海淀和谐社区发展中心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本书出售、求购地址：https://www.jiaokey.com/book/detail/13817715.html</w:t>
      </w:r>
    </w:p>
    <w:p>
      <w:r>
        <w:t>更多相关图书推荐：https://www.jiaokey.com</w:t>
      </w:r>
    </w:p>
    <w:p>
      <w:r>
        <w:t>陈幽泓，陈凤山主编 其他作品：https://www.jiaokey.com/tag/陈幽泓，陈凤山主编.html</w:t>
      </w:r>
    </w:p>
    <w:p>
      <w:r>
        <w:t>北京市海淀和谐社区发展中心 出版图书：https://www.jiaokey.com/tag/北京市海淀和谐社区发展中心.html</w:t>
      </w:r>
    </w:p>
    <w:p>
      <w:r>
        <w:t>关键词搜索：https://www.jiaokey.com/tag/和谐社区通讯  2015年  第2期  总第37期.html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