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编制黄河综合利用规划技术经济报告的方法与步骤</w:t>
      </w:r>
    </w:p>
    <w:p>
      <w:r>
        <w:rPr>
          <w:rFonts w:ascii="宋体" w:hAnsi="宋体" w:eastAsia="宋体"/>
          <w:sz w:val="24"/>
        </w:rPr>
        <w:t>黄河规划委员会编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编制黄河综合利用规划技术经济报告的方法与步骤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黄河规划委员会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本书出售、求购地址：https://www.jiaokey.com/book/detail/13816953.html</w:t>
      </w:r>
    </w:p>
    <w:p>
      <w:r>
        <w:t>更多相关图书推荐：https://www.jiaokey.com</w:t>
      </w:r>
    </w:p>
    <w:p>
      <w:r>
        <w:t>黄河规划委员会编 其他作品：https://www.jiaokey.com/tag/黄河规划委员会编.html</w:t>
      </w:r>
    </w:p>
    <w:p>
      <w:r>
        <w:t>黄河规划委员会 出版图书：https://www.jiaokey.com/tag/黄河规划委员会.html</w:t>
      </w:r>
    </w:p>
    <w:p>
      <w:r>
        <w:t>关键词搜索：https://www.jiaokey.com/tag/编制黄河综合利用规划技术经济报告的方法与步骤.html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