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新疆奇台地区农田用水的供需平衡</w:t>
      </w:r>
    </w:p>
    <w:p>
      <w:r>
        <w:rPr>
          <w:rFonts w:ascii="宋体" w:hAnsi="宋体" w:eastAsia="宋体"/>
          <w:sz w:val="24"/>
        </w:rPr>
        <w:t>中国科学院新疆分院水土生物资源综合研究所编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新疆奇台地区农田用水的供需平衡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中国科学院新疆分院水土生物资源综合研究所编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本书出售、求购地址：https://www.jiaokey.com/book/detail/13816454.html</w:t>
      </w:r>
    </w:p>
    <w:p>
      <w:r>
        <w:t>更多相关图书推荐：https://www.jiaokey.com</w:t>
      </w:r>
    </w:p>
    <w:p>
      <w:r>
        <w:t>中国科学院新疆分院水土生物资源综合研究所编 其他作品：https://www.jiaokey.com/tag/中国科学院新疆分院水土生物资源综合研究所编.html</w:t>
      </w:r>
    </w:p>
    <w:p>
      <w:r>
        <w:t>关键词搜索：https://www.jiaokey.com/tag/新疆奇台地区农田用水的供需平衡.html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