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中国内地手表消费热情升温</w:t>
      </w:r>
    </w:p>
    <w:p>
      <w:r>
        <w:rPr>
          <w:rFonts w:ascii="宋体" w:hAnsi="宋体" w:eastAsia="宋体"/>
          <w:sz w:val="24"/>
        </w:rPr>
        <w:t>赵惠仪翻译编审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中国内地手表消费热情升温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赵惠仪翻译编审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香港贸发局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本书出售、求购地址：https://www.jiaokey.com/book/detail/13816201.html</w:t>
      </w:r>
    </w:p>
    <w:p>
      <w:r>
        <w:t>更多相关图书推荐：https://www.jiaokey.com</w:t>
      </w:r>
    </w:p>
    <w:p>
      <w:r>
        <w:t>赵惠仪翻译编审 其他作品：https://www.jiaokey.com/tag/赵惠仪翻译编审.html</w:t>
      </w:r>
    </w:p>
    <w:p>
      <w:r>
        <w:t>香港贸发局 出版图书：https://www.jiaokey.com/tag/香港贸发局.html</w:t>
      </w:r>
    </w:p>
    <w:p>
      <w:r>
        <w:t>关键词搜索：https://www.jiaokey.com/tag/中国内地手表消费热情升温.html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