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中国西北部沙漠重点治理的沙地条件与改造利用途径  中国科学院治沙队第一次学术报告会文件</w:t>
      </w:r>
    </w:p>
    <w:p>
      <w:r>
        <w:rPr>
          <w:rFonts w:ascii="宋体" w:hAnsi="宋体" w:eastAsia="宋体"/>
          <w:sz w:val="24"/>
        </w:rPr>
        <w:t>高尚武编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中国西北部沙漠重点治理的沙地条件与改造利用途径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本书出售、求购地址：https://www.jiaokey.com/book/detail/13814730.html</w:t>
      </w:r>
    </w:p>
    <w:p>
      <w:r>
        <w:t>更多相关图书推荐：https://www.jiaokey.com</w:t>
      </w:r>
    </w:p>
    <w:p>
      <w:r>
        <w:t>高尚武编 其他作品：https://www.jiaokey.com/tag/高尚武编.html</w:t>
      </w:r>
    </w:p>
    <w:p>
      <w:r>
        <w:t>林业科学研究院 出版图书：https://www.jiaokey.com/tag/林业科学研究院.html</w:t>
      </w:r>
    </w:p>
    <w:p>
      <w:r>
        <w:t>关键词搜索：https://www.jiaokey.com/tag/中国西北部沙漠重点治理的沙地条件与改造利用途径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