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水土保持措施对黄河中游液体和固体迳流影响的计算方法</w:t>
      </w:r>
    </w:p>
    <w:p>
      <w:r>
        <w:rPr>
          <w:rFonts w:ascii="宋体" w:hAnsi="宋体" w:eastAsia="宋体"/>
          <w:sz w:val="24"/>
        </w:rPr>
        <w:t>Г.В.纳扎罗夫编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水土保持措施对黄河中游液体和固体迳流影响的计算方法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Г.В.纳扎罗夫编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本书出售、求购地址：https://www.jiaokey.com/book/detail/13814287.html</w:t>
      </w:r>
    </w:p>
    <w:p>
      <w:r>
        <w:t>更多相关图书推荐：https://www.jiaokey.com</w:t>
      </w:r>
    </w:p>
    <w:p>
      <w:r>
        <w:t>Г.В.纳扎罗夫编 其他作品：https://www.jiaokey.com/tag/Г.В.纳扎罗夫编.html</w:t>
      </w:r>
    </w:p>
    <w:p>
      <w:r>
        <w:t>关键词搜索：https://www.jiaokey.com/tag/水土保持措施对黄河中游液体和固体迳流影响的计算方法.html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