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博弈论  经济管理互动策略</w:t>
      </w:r>
    </w:p>
    <w:p>
      <w:r>
        <w:rPr>
          <w:rFonts w:ascii="宋体" w:hAnsi="宋体" w:eastAsia="宋体"/>
          <w:sz w:val="24"/>
        </w:rPr>
        <w:t>（以）阿维亚德·海菲兹著；刘勇译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博弈论  经济管理互动策略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（以）阿维亚德·海菲兹著；刘勇译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本书出售、求购地址：https://www.jiaokey.com/book/detail/13813214.html</w:t>
      </w:r>
    </w:p>
    <w:p>
      <w:r>
        <w:t>更多相关图书推荐：https://www.jiaokey.com</w:t>
      </w:r>
    </w:p>
    <w:p>
      <w:r>
        <w:t>（以）阿维亚德·海菲兹著；刘勇译 其他作品：https://www.jiaokey.com/tag/（以）阿维亚德·海菲兹著；刘勇译.html</w:t>
      </w:r>
    </w:p>
    <w:p>
      <w:r>
        <w:t>上海：上海人民出版社；上海：格致出版社 出版图书：https://www.jiaokey.com/tag/上海：上海人民出版社；上海：格致出版社.html</w:t>
      </w:r>
    </w:p>
    <w:p>
      <w:r>
        <w:t>关键词搜索：https://www.jiaokey.com/tag/博弈论  经济管理互动策略.html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