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  第2卷</w:t>
      </w:r>
    </w:p>
    <w:p>
      <w:r>
        <w:rPr>
          <w:rFonts w:ascii="宋体" w:hAnsi="宋体" w:eastAsia="宋体"/>
          <w:sz w:val="24"/>
        </w:rPr>
        <w:t>李立明总主编；曹务春主编；段广才，冯子健，孙殿军，王素萍副主编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李立明总主编；曹务春主编；段广才，冯子健，孙殿军，王素萍副主编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本书出售、求购地址：https://www.jiaokey.com/book/detail/13812489.html</w:t>
      </w:r>
    </w:p>
    <w:p>
      <w:r>
        <w:t>更多相关图书推荐：https://www.jiaokey.com</w:t>
      </w:r>
    </w:p>
    <w:p>
      <w:r>
        <w:t>李立明总主编；曹务春主编；段广才，冯子健，孙殿军，王素萍副主编 其他作品：https://www.jiaokey.com/tag/李立明总主编；曹务春主编；段广才，冯子健，孙殿军，王素萍副主编.html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