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拿破仑的话</w:t>
      </w:r>
    </w:p>
    <w:p>
      <w:r>
        <w:rPr>
          <w:rFonts w:ascii="宋体" w:hAnsi="宋体" w:eastAsia="宋体"/>
          <w:sz w:val="24"/>
        </w:rPr>
        <w:t>克劳蒂斯·史菲利编文；劳伦迪娜·莫雷雅绘图；曾美祯中译；丹妮拉·若妮莉英译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克劳蒂斯·史菲利编文；劳伦迪娜·莫雷雅绘图；曾美祯中译；丹妮拉·若妮莉英译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本书出售、求购地址：https://www.jiaokey.com/book/detail/13809982.html</w:t>
      </w:r>
    </w:p>
    <w:p>
      <w:r>
        <w:t>更多相关图书推荐：https://www.jiaokey.com</w:t>
      </w:r>
    </w:p>
    <w:p>
      <w:r>
        <w:t>克劳蒂斯·史菲利编文；劳伦迪娜·莫雷雅绘图；曾美祯中译；丹妮拉·若妮莉英译 其他作品：https://www.jiaokey.com/tag/克劳蒂斯·史菲利编文；劳伦迪娜·莫雷雅绘图；曾美祯中译；丹妮拉·若妮莉英译.html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关键词搜索：https://www.jiaokey.com/tag/拿破仑的话.html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