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软件工程案例教程</w:t>
      </w:r>
    </w:p>
    <w:p>
      <w:r>
        <w:rPr>
          <w:rFonts w:ascii="宋体" w:hAnsi="宋体" w:eastAsia="宋体"/>
          <w:sz w:val="24"/>
        </w:rPr>
        <w:t>耿红琴主审；葛文庚，魏雪峰主编；孙利，田丽芳，徐慧娟副主编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耿红琴主审；葛文庚，魏雪峰主编；孙利，田丽芳，徐慧娟副主编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本书出售、求购地址：https://www.jiaokey.com/book/detail/13805546.html</w:t>
      </w:r>
    </w:p>
    <w:p>
      <w:r>
        <w:t>更多相关图书推荐：https://www.jiaokey.com</w:t>
      </w:r>
    </w:p>
    <w:p>
      <w:r>
        <w:t>耿红琴主审；葛文庚，魏雪峰主编；孙利，田丽芳，徐慧娟副主编 其他作品：https://www.jiaokey.com/tag/耿红琴主审；葛文庚，魏雪峰主编；孙利，田丽芳，徐慧娟副主编.html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