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Dreamweaver CS6网页设计案例教程</w:t>
      </w:r>
    </w:p>
    <w:p>
      <w:r>
        <w:rPr>
          <w:rFonts w:ascii="宋体" w:hAnsi="宋体" w:eastAsia="宋体"/>
          <w:sz w:val="24"/>
        </w:rPr>
        <w:t>奎晓燕，贾楠主编；李向楠，薛梅英，米丽萍副主编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Dreamweaver CS6网页设计案例教程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奎晓燕，贾楠主编；李向楠，薛梅英，米丽萍副主编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本书出售、求购地址：https://www.jiaokey.com/book/detail/13803981.html</w:t>
      </w:r>
    </w:p>
    <w:p>
      <w:r>
        <w:t>更多相关图书推荐：https://www.jiaokey.com</w:t>
      </w:r>
    </w:p>
    <w:p>
      <w:r>
        <w:t>奎晓燕，贾楠主编；李向楠，薛梅英，米丽萍副主编 其他作品：https://www.jiaokey.com/tag/奎晓燕，贾楠主编；李向楠，薛梅英，米丽萍副主编.html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Dreamweaver CS6网页设计案例教程.html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