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韩国专业美甲造型标准教程</w:t>
      </w:r>
    </w:p>
    <w:p>
      <w:r>
        <w:rPr>
          <w:rFonts w:ascii="宋体" w:hAnsi="宋体" w:eastAsia="宋体"/>
          <w:sz w:val="24"/>
        </w:rPr>
        <w:t>（韩）权泰一，权惠荣，金美铉，金兑映，金孝娟，文明姬等著；金冰青译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韩国专业美甲造型标准教程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（韩）权泰一，权惠荣，金美铉，金兑映，金孝娟，文明姬等著；金冰青译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本书出售、求购地址：https://www.jiaokey.com/book/detail/13803902.html</w:t>
      </w:r>
    </w:p>
    <w:p>
      <w:r>
        <w:t>更多相关图书推荐：https://www.jiaokey.com</w:t>
      </w:r>
    </w:p>
    <w:p>
      <w:r>
        <w:t>（韩）权泰一，权惠荣，金美铉，金兑映，金孝娟，文明姬等著；金冰青译 其他作品：https://www.jiaokey.com/tag/（韩）权泰一，权惠荣，金美铉，金兑映，金孝娟，文明姬等著；金冰青译.html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关键词搜索：https://www.jiaokey.com/tag/韩国专业美甲造型标准教程.html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