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香港商品贸易统计  2002年周年附刊  按国家及货品划分  进口</w:t>
      </w:r>
    </w:p>
    <w:p>
      <w:r>
        <w:rPr>
          <w:rFonts w:ascii="宋体" w:hAnsi="宋体" w:eastAsia="宋体"/>
          <w:sz w:val="24"/>
        </w:rPr>
        <w:t>中华人民共和国香港特别行政区，政府统计处编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香港商品贸易统计  2002年周年附刊  按国家及货品划分  进口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中华人民共和国香港特别行政区，政府统计处编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本书出售、求购地址：https://www.jiaokey.com/book/detail/13803247.html</w:t>
      </w:r>
    </w:p>
    <w:p>
      <w:r>
        <w:t>更多相关图书推荐：https://www.jiaokey.com</w:t>
      </w:r>
    </w:p>
    <w:p>
      <w:r>
        <w:t>中华人民共和国香港特别行政区，政府统计处编 其他作品：https://www.jiaokey.com/tag/中华人民共和国香港特别行政区，政府统计处编.html</w:t>
      </w:r>
    </w:p>
    <w:p>
      <w:r>
        <w:t>政府印务局 出版图书：https://www.jiaokey.com/tag/政府印务局.html</w:t>
      </w:r>
    </w:p>
    <w:p>
      <w:r>
        <w:t>关键词搜索：https://www.jiaokey.com/tag/香港商品贸易统计  2002年周年附刊  按国家及货品划分  进口.html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