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现代性的本土回响  近代杨墨思潮研究</w:t>
      </w:r>
    </w:p>
    <w:p>
      <w:r>
        <w:rPr>
          <w:rFonts w:ascii="宋体" w:hAnsi="宋体" w:eastAsia="宋体"/>
          <w:sz w:val="24"/>
        </w:rPr>
        <w:t>何爱国著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现代性的本土回响  近代杨墨思潮研究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何爱国著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本书出售、求购地址：https://www.jiaokey.com/book/detail/13803185.html</w:t>
      </w:r>
    </w:p>
    <w:p>
      <w:r>
        <w:t>更多相关图书推荐：https://www.jiaokey.com</w:t>
      </w:r>
    </w:p>
    <w:p>
      <w:r>
        <w:t>何爱国著 其他作品：https://www.jiaokey.com/tag/何爱国著.html</w:t>
      </w:r>
    </w:p>
    <w:p>
      <w:r>
        <w:t>广州：世界图书广东出版公司 出版图书：https://www.jiaokey.com/tag/广州：世界图书广东出版公司.html</w:t>
      </w:r>
    </w:p>
    <w:p>
      <w:r>
        <w:t>关键词搜索：https://www.jiaokey.com/tag/现代性的本土回响  近代杨墨思潮研究.html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