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媒体事务  媒体企业与公共利益</w:t>
      </w:r>
    </w:p>
    <w:p>
      <w:r>
        <w:rPr>
          <w:rFonts w:ascii="宋体" w:hAnsi="宋体" w:eastAsia="宋体"/>
          <w:sz w:val="24"/>
        </w:rPr>
        <w:t>David Croteau，William Hoynes著；丘忠融，叶宗显译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媒体事务  媒体企业与公共利益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Croteau，William Hoynes著；丘忠融，叶宗显译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本书出售、求购地址：https://www.jiaokey.com/book/detail/13802636.html</w:t>
      </w:r>
    </w:p>
    <w:p>
      <w:r>
        <w:t>更多相关图书推荐：https://www.jiaokey.com</w:t>
      </w:r>
    </w:p>
    <w:p>
      <w:r>
        <w:t>David Croteau，William Hoynes著；丘忠融，叶宗显译 其他作品：https://www.jiaokey.com/tag/David Croteau，William Hoynes著；丘忠融，叶宗显译.html</w:t>
      </w:r>
    </w:p>
    <w:p>
      <w:r>
        <w:t>韦伯文化国际 出版图书：https://www.jiaokey.com/tag/韦伯文化国际.html</w:t>
      </w:r>
    </w:p>
    <w:p>
      <w:r>
        <w:t>关键词搜索：https://www.jiaokey.com/tag/媒体事务  媒体企业与公共利益.html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