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企业必读</w:t>
      </w:r>
    </w:p>
    <w:p>
      <w:r>
        <w:rPr>
          <w:rFonts w:ascii="宋体" w:hAnsi="宋体" w:eastAsia="宋体"/>
          <w:sz w:val="24"/>
        </w:rPr>
        <w:t>李宗州，王伟主审；杨海川，毛书常，李广安编审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李宗州，王伟主审；杨海川，毛书常，李广安编审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豫内资料准印通字宛新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本书出售、求购地址：https://www.jiaokey.com/book/detail/13802093.html</w:t>
      </w:r>
    </w:p>
    <w:p>
      <w:r>
        <w:t>更多相关图书推荐：https://www.jiaokey.com</w:t>
      </w:r>
    </w:p>
    <w:p>
      <w:r>
        <w:t>李宗州，王伟主审；杨海川，毛书常，李广安编审 其他作品：https://www.jiaokey.com/tag/李宗州，王伟主审；杨海川，毛书常，李广安编审.html</w:t>
      </w:r>
    </w:p>
    <w:p>
      <w:r>
        <w:t>豫内资料准印通字宛新 出版图书：https://www.jiaokey.com/tag/豫内资料准印通字宛新.html</w:t>
      </w:r>
    </w:p>
    <w:p>
      <w:r>
        <w:t>关键词搜索：https://www.jiaokey.com/tag/企业必读.html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