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北川县政区演变与羌族的人口分布</w:t>
      </w:r>
    </w:p>
    <w:p>
      <w:r>
        <w:rPr>
          <w:rFonts w:ascii="宋体" w:hAnsi="宋体" w:eastAsia="宋体"/>
          <w:sz w:val="24"/>
        </w:rPr>
        <w:t>中共北川县委统战部，北川县人大常委会民族工作委员会，北川县政协民族联谊委员会等编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北川县政区演变与羌族的人口分布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中共北川县委统战部，北川县人大常委会民族工作委员会，北川县政协民族联谊委员会等编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本书出售、求购地址：https://www.jiaokey.com/book/detail/13802000.html</w:t>
      </w:r>
    </w:p>
    <w:p>
      <w:r>
        <w:t>更多相关图书推荐：https://www.jiaokey.com</w:t>
      </w:r>
    </w:p>
    <w:p>
      <w:r>
        <w:t>中共北川县委统战部，北川县人大常委会民族工作委员会，北川县政协民族联谊委员会等编 其他作品：https://www.jiaokey.com/tag/中共北川县委统战部，北川县人大常委会民族工作委员会，北川县政协民族联谊委员会等编.html</w:t>
      </w:r>
    </w:p>
    <w:p>
      <w:r>
        <w:t>关键词搜索：https://www.jiaokey.com/tag/北川县政区演变与羌族的人口分布.html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