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工程建设法规与案例</w:t>
      </w:r>
    </w:p>
    <w:p>
      <w:r>
        <w:rPr>
          <w:rFonts w:ascii="宋体" w:hAnsi="宋体" w:eastAsia="宋体"/>
          <w:sz w:val="24"/>
        </w:rPr>
        <w:t>刘黎虹，韩丽红主编；刘晓旭，胡金红，金景慧参编；宿辉主审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刘黎虹，韩丽红主编；刘晓旭，胡金红，金景慧参编；宿辉主审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本书出售、求购地址：https://www.jiaokey.com/book/detail/13801645.html</w:t>
      </w:r>
    </w:p>
    <w:p>
      <w:r>
        <w:t>更多相关图书推荐：https://www.jiaokey.com</w:t>
      </w:r>
    </w:p>
    <w:p>
      <w:r>
        <w:t>刘黎虹，韩丽红主编；刘晓旭，胡金红，金景慧参编；宿辉主审 其他作品：https://www.jiaokey.com/tag/刘黎虹，韩丽红主编；刘晓旭，胡金红，金景慧参编；宿辉主审.html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关键词搜索：https://www.jiaokey.com/tag/工程建设法规与案例.html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