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水利水电工程造价</w:t>
      </w:r>
    </w:p>
    <w:p>
      <w:r>
        <w:rPr>
          <w:rFonts w:ascii="宋体" w:hAnsi="宋体" w:eastAsia="宋体"/>
          <w:sz w:val="24"/>
        </w:rPr>
        <w:t>陈金良，邵正荣主编；许明丽，张文义，高丽琴，廖明菊副主编；刘占军主审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陈金良，邵正荣主编；许明丽，张文义，高丽琴，廖明菊副主编；刘占军主审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本书出售、求购地址：https://www.jiaokey.com/book/detail/13801050.html</w:t>
      </w:r>
    </w:p>
    <w:p>
      <w:r>
        <w:t>更多相关图书推荐：https://www.jiaokey.com</w:t>
      </w:r>
    </w:p>
    <w:p>
      <w:r>
        <w:t>陈金良，邵正荣主编；许明丽，张文义，高丽琴，廖明菊副主编；刘占军主审 其他作品：https://www.jiaokey.com/tag/陈金良，邵正荣主编；许明丽，张文义，高丽琴，廖明菊副主编；刘占军主审.html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