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  早期现代中国的物质文化与社会状况＝SUPERFLUOUS THINGES</w:t>
      </w:r>
    </w:p>
    <w:p>
      <w:r>
        <w:rPr>
          <w:rFonts w:ascii="宋体" w:hAnsi="宋体" w:eastAsia="宋体"/>
          <w:sz w:val="24"/>
        </w:rPr>
        <w:t>（英）柯律格著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  早期现代中国的物质文化与社会状况＝SUPERFLUOUS THINGES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（英）柯律格著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本书出售、求购地址：https://www.jiaokey.com/book/detail/13800230.html</w:t>
      </w:r>
    </w:p>
    <w:p>
      <w:r>
        <w:t>更多相关图书推荐：https://www.jiaokey.com</w:t>
      </w:r>
    </w:p>
    <w:p>
      <w:r>
        <w:t>（英）柯律格著 其他作品：https://www.jiaokey.com/tag/（英）柯律格著.html</w:t>
      </w:r>
    </w:p>
    <w:p>
      <w:r>
        <w:t>关键词搜索：https://www.jiaokey.com/tag/长物  早期现代中国的物质文化与社会状况＝SUPERFLUOUS THINGES.html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