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CFA协会机构投资系列  估值技术</w:t>
      </w:r>
    </w:p>
    <w:p>
      <w:r>
        <w:rPr>
          <w:rFonts w:ascii="宋体" w:hAnsi="宋体" w:eastAsia="宋体"/>
          <w:sz w:val="24"/>
        </w:rPr>
        <w:t>（美）大卫T.拉勒比，贾森A.沃斯编；王晋忠等译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CFA协会机构投资系列  估值技术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（美）大卫T.拉勒比，贾森A.沃斯编；王晋忠等译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本书出售、求购地址：https://www.jiaokey.com/book/detail/13799994.html</w:t>
      </w:r>
    </w:p>
    <w:p>
      <w:r>
        <w:t>更多相关图书推荐：https://www.jiaokey.com</w:t>
      </w:r>
    </w:p>
    <w:p>
      <w:r>
        <w:t>（美）大卫T.拉勒比，贾森A.沃斯编；王晋忠等译 其他作品：https://www.jiaokey.com/tag/（美）大卫T.拉勒比，贾森A.沃斯编；王晋忠等译.html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关键词搜索：https://www.jiaokey.com/tag/CFA协会机构投资系列  估值技术.html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