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本质·多样性·统一</w:t>
      </w:r>
    </w:p>
    <w:p>
      <w:r>
        <w:rPr>
          <w:rFonts w:ascii="宋体" w:hAnsi="宋体" w:eastAsia="宋体"/>
          <w:sz w:val="24"/>
        </w:rPr>
        <w:t>（美）马克·布尔金（MARKBURGIN）著；王恒君，嵇立安，王宏勇译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本质·多样性·统一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（美）马克·布尔金（MARKBURGIN）著；王恒君，嵇立安，王宏勇译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本书出售、求购地址：https://www.jiaokey.com/book/detail/13799914.html</w:t>
      </w:r>
    </w:p>
    <w:p>
      <w:r>
        <w:t>更多相关图书推荐：https://www.jiaokey.com</w:t>
      </w:r>
    </w:p>
    <w:p>
      <w:r>
        <w:t>（美）马克·布尔金（MARKBURGIN）著；王恒君，嵇立安，王宏勇译 其他作品：https://www.jiaokey.com/tag/（美）马克·布尔金（MARKBURGIN）著；王恒君，嵇立安，王宏勇译.html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关键词搜索：https://www.jiaokey.com/tag/信息论  本质·多样性·统一.html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