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碑帖知识举要</w:t>
      </w:r>
    </w:p>
    <w:p>
      <w:r>
        <w:rPr>
          <w:rFonts w:ascii="宋体" w:hAnsi="宋体" w:eastAsia="宋体"/>
          <w:sz w:val="24"/>
        </w:rPr>
        <w:t>苏士澍总主编；全国中小学书法文化教育研究中心组编；霍文才，李佳航编著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638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30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638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碑帖知识举要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苏士澍总主编；全国中小学书法文化教育研究中心组编；霍文才，李佳航编著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书法课-中小学-教学参考资料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本书出售、求购地址：https://www.jiaokey.com/book/detail/13793034.html</w:t>
      </w:r>
    </w:p>
    <w:p>
      <w:r>
        <w:t>更多相关图书推荐：https://www.jiaokey.com</w:t>
      </w:r>
    </w:p>
    <w:p>
      <w:r>
        <w:t>苏士澍总主编；全国中小学书法文化教育研究中心组编；霍文才，李佳航编著 其他作品：https://www.jiaokey.com/tag/苏士澍总主编；全国中小学书法文化教育研究中心组编；霍文才，李佳航编著.html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关键词搜索：https://www.jiaokey.com/tag/书法课-中小学-教学参考资料.html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