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  课外文言文突破</w:t>
      </w:r>
    </w:p>
    <w:p>
      <w:r>
        <w:rPr>
          <w:rFonts w:ascii="宋体" w:hAnsi="宋体" w:eastAsia="宋体"/>
          <w:sz w:val="24"/>
        </w:rPr>
        <w:t>吴铜运主编；段继军副主编；石容仓审定；吴铜运，段继军，郑向东等编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  课外文言文突破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吴铜运主编；段继军副主编；石容仓审定；吴铜运，段继军，郑向东等编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本书出售、求购地址：https://www.jiaokey.com/book/detail/13792635.html</w:t>
      </w:r>
    </w:p>
    <w:p>
      <w:r>
        <w:t>更多相关图书推荐：https://www.jiaokey.com</w:t>
      </w:r>
    </w:p>
    <w:p>
      <w:r>
        <w:t>吴铜运主编；段继军副主编；石容仓审定；吴铜运，段继军，郑向东等编 其他作品：https://www.jiaokey.com/tag/吴铜运主编；段继军副主编；石容仓审定；吴铜运，段继军，郑向东等编.html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关键词搜索：https://www.jiaokey.com/tag/初中语文  课外文言文突破.html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