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</w:t>
      </w:r>
    </w:p>
    <w:p>
      <w:r>
        <w:rPr>
          <w:rFonts w:ascii="宋体" w:hAnsi="宋体" w:eastAsia="宋体"/>
          <w:sz w:val="24"/>
        </w:rPr>
        <w:t>北京师范大学数学科学学院主编；房艮孙，钱珮玲，柳藩编著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北京师范大学数学科学学院主编；房艮孙，钱珮玲，柳藩编著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本书出售、求购地址：https://www.jiaokey.com/book/detail/13787525.html</w:t>
      </w:r>
    </w:p>
    <w:p>
      <w:r>
        <w:t>更多相关图书推荐：https://www.jiaokey.com</w:t>
      </w:r>
    </w:p>
    <w:p>
      <w:r>
        <w:t>北京师范大学数学科学学院主编；房艮孙，钱珮玲，柳藩编著 其他作品：https://www.jiaokey.com/tag/北京师范大学数学科学学院主编；房艮孙，钱珮玲，柳藩编著.html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