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债法比较</w:t>
      </w:r>
    </w:p>
    <w:p>
      <w:r>
        <w:rPr>
          <w:rFonts w:ascii="宋体" w:hAnsi="宋体" w:eastAsia="宋体"/>
          <w:sz w:val="24"/>
        </w:rPr>
        <w:t>赵炳霖，乐嘉庆著；顾肖荣，吴志良，费成康主编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赵炳霖，乐嘉庆著；顾肖荣，吴志良，费成康主编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本书出售、求购地址：https://www.jiaokey.com/book/detail/13783084.html</w:t>
      </w:r>
    </w:p>
    <w:p>
      <w:r>
        <w:t>更多相关图书推荐：https://www.jiaokey.com</w:t>
      </w:r>
    </w:p>
    <w:p>
      <w:r>
        <w:t>赵炳霖，乐嘉庆著；顾肖荣，吴志良，费成康主编 其他作品：https://www.jiaokey.com/tag/赵炳霖，乐嘉庆著；顾肖荣，吴志良，费成康主编.html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关键词搜索：https://www.jiaokey.com/tag/债法比较.html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