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创意教育与动态媒体＝CREATIVE EDUCATION AND DYNAMIC MEDIA</w:t>
      </w:r>
    </w:p>
    <w:p>
      <w:r>
        <w:rPr>
          <w:rFonts w:ascii="宋体" w:hAnsi="宋体" w:eastAsia="宋体"/>
          <w:sz w:val="24"/>
        </w:rPr>
        <w:t>（德）托比亚斯·格雷姆勒著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创意教育与动态媒体＝CREATIVE EDUCATION AND DYNAMIC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（德）托比亚斯·格雷姆勒著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本书出售、求购地址：https://www.jiaokey.com/book/detail/13781903.html</w:t>
      </w:r>
    </w:p>
    <w:p>
      <w:r>
        <w:t>更多相关图书推荐：https://www.jiaokey.com</w:t>
      </w:r>
    </w:p>
    <w:p>
      <w:r>
        <w:t>（德）托比亚斯·格雷姆勒著 其他作品：https://www.jiaokey.com/tag/（德）托比亚斯·格雷姆勒著.html</w:t>
      </w:r>
    </w:p>
    <w:p>
      <w:r>
        <w:t>关键词搜索：https://www.jiaokey.com/tag/创意教育与动态媒体＝CREATIVE EDUCATION AND DYNAMIC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