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吃的艺术：饮食营养现代新观念</w:t>
      </w:r>
    </w:p>
    <w:p>
      <w:r>
        <w:rPr>
          <w:rFonts w:ascii="宋体" w:hAnsi="宋体" w:eastAsia="宋体"/>
          <w:sz w:val="24"/>
        </w:rPr>
        <w:t>《中国消费者报》河北记者站，河北工商报社书刊编辑部编著；刘宏振，杜新民，张石锁主编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吃的艺术：饮食营养现代新观念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《中国消费者报》河北记者站，河北工商报社书刊编辑部编著；刘宏振，杜新民，张石锁主编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本书出售、求购地址：https://www.jiaokey.com/book/detail/13781311.html</w:t>
      </w:r>
    </w:p>
    <w:p>
      <w:r>
        <w:t>更多相关图书推荐：https://www.jiaokey.com</w:t>
      </w:r>
    </w:p>
    <w:p>
      <w:r>
        <w:t>《中国消费者报》河北记者站，河北工商报社书刊编辑部编著；刘宏振，杜新民，张石锁主编 其他作品：https://www.jiaokey.com/tag/《中国消费者报》河北记者站，河北工商报社书刊编辑部编著；刘宏振，杜新民，张石锁主编.html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关键词搜索：https://www.jiaokey.com/tag/吃的艺术：饮食营养现代新观念.html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