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对边缘到多元中心  台语文学ê主体建构</w:t>
      </w:r>
    </w:p>
    <w:p>
      <w:r>
        <w:rPr>
          <w:rFonts w:ascii="宋体" w:hAnsi="宋体" w:eastAsia="宋体"/>
          <w:sz w:val="24"/>
        </w:rPr>
        <w:t>方耀乾著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对边缘到多元中心  台语文学ê主体建构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方耀乾著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本书出售、求购地址：https://www.jiaokey.com/book/detail/13778407.html</w:t>
      </w:r>
    </w:p>
    <w:p>
      <w:r>
        <w:t>更多相关图书推荐：https://www.jiaokey.com</w:t>
      </w:r>
    </w:p>
    <w:p>
      <w:r>
        <w:t>方耀乾著 其他作品：https://www.jiaokey.com/tag/方耀乾著.html</w:t>
      </w:r>
    </w:p>
    <w:p>
      <w:r>
        <w:t>南市文化局 出版图书：https://www.jiaokey.com/tag/南市文化局.html</w:t>
      </w:r>
    </w:p>
    <w:p>
      <w:r>
        <w:t>关键词搜索：https://www.jiaokey.com/tag/对边缘到多元中心  台语文学ê主体建构.html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