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锥齿轮及准双曲线齿轮传动啮合原理</w:t>
      </w:r>
    </w:p>
    <w:p>
      <w:r>
        <w:rPr>
          <w:rFonts w:ascii="宋体" w:hAnsi="宋体" w:eastAsia="宋体"/>
          <w:sz w:val="24"/>
        </w:rPr>
        <w:t>（美）威尔德哈泊著；（苏）斯列巴克，А.В.译；张志僖译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锥齿轮及准双曲线齿轮传动啮合原理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（美）威尔德哈泊著；（苏）斯列巴克，А.В.译；张志僖译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本书出售、求购地址：https://www.jiaokey.com/book/detail/13778086.html</w:t>
      </w:r>
    </w:p>
    <w:p>
      <w:r>
        <w:t>更多相关图书推荐：https://www.jiaokey.com</w:t>
      </w:r>
    </w:p>
    <w:p>
      <w:r>
        <w:t>（美）威尔德哈泊著；（苏）斯列巴克，А.В.译；张志僖译 其他作品：https://www.jiaokey.com/tag/（美）威尔德哈泊著；（苏）斯列巴克，А.В.译；张志僖译.html</w:t>
      </w:r>
    </w:p>
    <w:p>
      <w:r>
        <w:t>北京：中国工业出版社 出版图书：https://www.jiaokey.com/tag/北京：中国工业出版社.html</w:t>
      </w:r>
    </w:p>
    <w:p>
      <w:r>
        <w:t>关键词搜索：https://www.jiaokey.com/tag/锥齿轮及准双曲线齿轮传动啮合原理.html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