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彼岸羌影  1949年前的羌族图像志</w:t>
      </w:r>
    </w:p>
    <w:p>
      <w:r>
        <w:rPr>
          <w:rFonts w:ascii="宋体" w:hAnsi="宋体" w:eastAsia="宋体"/>
          <w:sz w:val="24"/>
        </w:rPr>
        <w:t>焦虎三，冯晓枫编著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彼岸羌影  1949年前的羌族图像志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焦虎三，冯晓枫编著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北川羌族自治县人民政府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本书出售、求购地址：https://www.jiaokey.com/book/detail/13777787.html</w:t>
      </w:r>
    </w:p>
    <w:p>
      <w:r>
        <w:t>更多相关图书推荐：https://www.jiaokey.com</w:t>
      </w:r>
    </w:p>
    <w:p>
      <w:r>
        <w:t>焦虎三，冯晓枫编著 其他作品：https://www.jiaokey.com/tag/焦虎三，冯晓枫编著.html</w:t>
      </w:r>
    </w:p>
    <w:p>
      <w:r>
        <w:t>北川羌族自治县人民政府 出版图书：https://www.jiaokey.com/tag/北川羌族自治县人民政府.html</w:t>
      </w:r>
    </w:p>
    <w:p>
      <w:r>
        <w:t>关键词搜索：https://www.jiaokey.com/tag/彼岸羌影  1949年前的羌族图像志.html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