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落实收支两条线规定工作手册</w:t>
      </w:r>
    </w:p>
    <w:p>
      <w:r>
        <w:rPr>
          <w:rFonts w:ascii="宋体" w:hAnsi="宋体" w:eastAsia="宋体"/>
          <w:sz w:val="24"/>
        </w:rPr>
        <w:t>湖北省财政厅编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落实收支两条线规定工作手册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武汉市育才印刷厂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本书出售、求购地址：https://www.jiaokey.com/book/detail/13777072.html</w:t>
      </w:r>
    </w:p>
    <w:p>
      <w:r>
        <w:t>更多相关图书推荐：https://www.jiaokey.com</w:t>
      </w:r>
    </w:p>
    <w:p>
      <w:r>
        <w:t>湖北省财政厅编 其他作品：https://www.jiaokey.com/tag/湖北省财政厅编.html</w:t>
      </w:r>
    </w:p>
    <w:p>
      <w:r>
        <w:t>武汉市育才印刷厂 出版图书：https://www.jiaokey.com/tag/武汉市育才印刷厂.html</w:t>
      </w:r>
    </w:p>
    <w:p>
      <w:r>
        <w:t>关键词搜索：https://www.jiaokey.com/tag/落实收支两条线规定工作手册.html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