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标志与VI设计</w:t>
      </w:r>
    </w:p>
    <w:p>
      <w:r>
        <w:rPr>
          <w:rFonts w:ascii="宋体" w:hAnsi="宋体" w:eastAsia="宋体"/>
          <w:sz w:val="24"/>
        </w:rPr>
        <w:t>顾明智，代红阳主编；边少平，谷粒儿，冯正未，张彬彬，赵丽娜，王坤副主编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标志与VI设计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顾明智，代红阳主编；边少平，谷粒儿，冯正未，张彬彬，赵丽娜，王坤副主编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本书出售、求购地址：https://www.jiaokey.com/book/detail/13776807.html</w:t>
      </w:r>
    </w:p>
    <w:p>
      <w:r>
        <w:t>更多相关图书推荐：https://www.jiaokey.com</w:t>
      </w:r>
    </w:p>
    <w:p>
      <w:r>
        <w:t>顾明智，代红阳主编；边少平，谷粒儿，冯正未，张彬彬，赵丽娜，王坤副主编 其他作品：https://www.jiaokey.com/tag/顾明智，代红阳主编；边少平，谷粒儿，冯正未，张彬彬，赵丽娜，王坤副主编.html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关键词搜索：https://www.jiaokey.com/tag/标志与VI设计.html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